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0D4D13" w:rsidRDefault="002536EF" w:rsidP="00CE790C">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320F7B" w:rsidRPr="000D4D13">
        <w:rPr>
          <w:rFonts w:ascii="HelveticaNeueLT Std" w:hAnsi="HelveticaNeueLT Std"/>
          <w:sz w:val="20"/>
          <w:szCs w:val="20"/>
        </w:rPr>
        <w:t>Sinopsis</w:t>
      </w:r>
    </w:p>
    <w:p w14:paraId="02B04DAF" w14:textId="77777777" w:rsidR="00CE790C" w:rsidRPr="000D4D13" w:rsidRDefault="00CE790C" w:rsidP="00CE790C">
      <w:pPr>
        <w:pStyle w:val="Ttulo"/>
        <w:tabs>
          <w:tab w:val="center" w:pos="5935"/>
          <w:tab w:val="left" w:pos="8830"/>
        </w:tabs>
        <w:spacing w:before="0" w:after="0" w:line="276" w:lineRule="auto"/>
        <w:jc w:val="left"/>
        <w:rPr>
          <w:rFonts w:ascii="HelveticaNeueLT Std" w:hAnsi="HelveticaNeueLT Std"/>
          <w:sz w:val="20"/>
          <w:szCs w:val="20"/>
        </w:rPr>
      </w:pPr>
    </w:p>
    <w:p w14:paraId="3450C23E" w14:textId="40A0D378"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4DD7277" w14:textId="77777777" w:rsidR="00CE790C" w:rsidRPr="000D4D13" w:rsidRDefault="00CE790C" w:rsidP="009A45CF">
      <w:pPr>
        <w:spacing w:line="276" w:lineRule="auto"/>
        <w:jc w:val="center"/>
        <w:rPr>
          <w:rFonts w:ascii="HelveticaNeueLT Std" w:hAnsi="HelveticaNeueLT Std" w:cs="Arial"/>
          <w:b/>
          <w:bCs/>
          <w:sz w:val="20"/>
          <w:szCs w:val="20"/>
        </w:rPr>
      </w:pPr>
    </w:p>
    <w:p w14:paraId="2CE0BECB" w14:textId="0F34FB4E"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 xml:space="preserve">Período </w:t>
      </w:r>
      <w:r w:rsidR="00E02BAF">
        <w:rPr>
          <w:rFonts w:ascii="HelveticaNeueLT Std" w:hAnsi="HelveticaNeueLT Std" w:cs="Arial"/>
          <w:b/>
          <w:bCs/>
          <w:sz w:val="20"/>
          <w:szCs w:val="20"/>
        </w:rPr>
        <w:t>ju</w:t>
      </w:r>
      <w:r w:rsidR="004412F2">
        <w:rPr>
          <w:rFonts w:ascii="HelveticaNeueLT Std" w:hAnsi="HelveticaNeueLT Std" w:cs="Arial"/>
          <w:b/>
          <w:bCs/>
          <w:sz w:val="20"/>
          <w:szCs w:val="20"/>
        </w:rPr>
        <w:t>l</w:t>
      </w:r>
      <w:r w:rsidR="00E02BAF">
        <w:rPr>
          <w:rFonts w:ascii="HelveticaNeueLT Std" w:hAnsi="HelveticaNeueLT Std" w:cs="Arial"/>
          <w:b/>
          <w:bCs/>
          <w:sz w:val="20"/>
          <w:szCs w:val="20"/>
        </w:rPr>
        <w:t>io</w:t>
      </w:r>
      <w:r w:rsidR="00860756" w:rsidRPr="000D4D13">
        <w:rPr>
          <w:rFonts w:ascii="HelveticaNeueLT Std" w:hAnsi="HelveticaNeueLT Std" w:cs="Arial"/>
          <w:b/>
          <w:bCs/>
          <w:sz w:val="20"/>
          <w:szCs w:val="20"/>
        </w:rPr>
        <w:t xml:space="preserve"> de 20</w:t>
      </w:r>
      <w:r w:rsidR="000D4D13">
        <w:rPr>
          <w:rFonts w:ascii="HelveticaNeueLT Std" w:hAnsi="HelveticaNeueLT Std" w:cs="Arial"/>
          <w:b/>
          <w:bCs/>
          <w:sz w:val="20"/>
          <w:szCs w:val="20"/>
        </w:rPr>
        <w:t>2</w:t>
      </w:r>
      <w:r w:rsidR="001C569B">
        <w:rPr>
          <w:rFonts w:ascii="HelveticaNeueLT Std" w:hAnsi="HelveticaNeueLT Std" w:cs="Arial"/>
          <w:b/>
          <w:bCs/>
          <w:sz w:val="20"/>
          <w:szCs w:val="20"/>
        </w:rPr>
        <w:t>2</w:t>
      </w:r>
    </w:p>
    <w:p w14:paraId="4FA0F900" w14:textId="77777777" w:rsidR="00320F7B" w:rsidRPr="000D4D13" w:rsidRDefault="00320F7B"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FF5604">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FF5604">
        <w:trPr>
          <w:trHeight w:val="277"/>
        </w:trPr>
        <w:tc>
          <w:tcPr>
            <w:tcW w:w="617" w:type="dxa"/>
            <w:tcBorders>
              <w:top w:val="single" w:sz="4" w:space="0" w:color="auto"/>
              <w:bottom w:val="single" w:sz="4" w:space="0" w:color="auto"/>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2769B0FD" w:rsidR="009A45CF" w:rsidRPr="000D4D13" w:rsidRDefault="00245634" w:rsidP="00196446">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12</w:t>
            </w:r>
          </w:p>
        </w:tc>
        <w:tc>
          <w:tcPr>
            <w:tcW w:w="2127" w:type="dxa"/>
            <w:tcBorders>
              <w:top w:val="single" w:sz="4" w:space="0" w:color="auto"/>
              <w:bottom w:val="single" w:sz="4" w:space="0" w:color="auto"/>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6E5E9EF5" w:rsidR="009A45CF" w:rsidRPr="00B80921" w:rsidRDefault="00245634"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15</w:t>
            </w:r>
            <w:r w:rsidR="00E943C3">
              <w:rPr>
                <w:rFonts w:ascii="HelveticaNeueLT Std" w:eastAsia="MS Mincho" w:hAnsi="HelveticaNeueLT Std"/>
                <w:bCs/>
                <w:sz w:val="20"/>
                <w:szCs w:val="20"/>
                <w:lang w:eastAsia="en-US"/>
              </w:rPr>
              <w:t>-</w:t>
            </w:r>
            <w:r w:rsidR="004412F2">
              <w:rPr>
                <w:rFonts w:ascii="HelveticaNeueLT Std" w:eastAsia="MS Mincho" w:hAnsi="HelveticaNeueLT Std"/>
                <w:bCs/>
                <w:sz w:val="20"/>
                <w:szCs w:val="20"/>
                <w:lang w:eastAsia="en-US"/>
              </w:rPr>
              <w:t>jul</w:t>
            </w:r>
            <w:r w:rsidR="00E02BAF">
              <w:rPr>
                <w:rFonts w:ascii="HelveticaNeueLT Std" w:eastAsia="MS Mincho" w:hAnsi="HelveticaNeueLT Std"/>
                <w:bCs/>
                <w:sz w:val="20"/>
                <w:szCs w:val="20"/>
                <w:lang w:eastAsia="en-US"/>
              </w:rPr>
              <w:t>io</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E342D1">
              <w:rPr>
                <w:rFonts w:ascii="HelveticaNeueLT Std" w:eastAsia="MS Mincho" w:hAnsi="HelveticaNeueLT Std"/>
                <w:bCs/>
                <w:sz w:val="20"/>
                <w:szCs w:val="20"/>
                <w:lang w:eastAsia="en-US"/>
              </w:rPr>
              <w:t>2</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65B382DA" w14:textId="4A657A16"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bottom w:val="single" w:sz="4" w:space="0" w:color="auto"/>
            </w:tcBorders>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4A5612F6" w:rsidR="009A45CF" w:rsidRPr="00B80921" w:rsidRDefault="003B79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00B80921" w:rsidRPr="00B80921">
              <w:rPr>
                <w:rFonts w:ascii="HelveticaNeueLT Std" w:eastAsia="MS Mincho" w:hAnsi="HelveticaNeueLT Std"/>
                <w:bCs/>
                <w:sz w:val="20"/>
                <w:szCs w:val="20"/>
                <w:lang w:eastAsia="en-US"/>
              </w:rPr>
              <w:t xml:space="preserve"> </w:t>
            </w:r>
            <w:r w:rsidR="009A45CF"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40434" w14:paraId="0FE0120A" w14:textId="77777777" w:rsidTr="00640434">
              <w:trPr>
                <w:trHeight w:val="1075"/>
                <w:tblCellSpacing w:w="0" w:type="dxa"/>
              </w:trPr>
              <w:tc>
                <w:tcPr>
                  <w:tcW w:w="8832"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196446" w14:paraId="089E96D2" w14:textId="77777777" w:rsidTr="00196446">
                    <w:trPr>
                      <w:tblCellSpacing w:w="0" w:type="dxa"/>
                    </w:trPr>
                    <w:tc>
                      <w:tcPr>
                        <w:tcW w:w="8832"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77"/>
                          <w:gridCol w:w="20"/>
                        </w:tblGrid>
                        <w:tr w:rsidR="004412F2" w14:paraId="7D281C65" w14:textId="77777777" w:rsidTr="004412F2">
                          <w:trPr>
                            <w:tblCellSpacing w:w="0" w:type="dxa"/>
                          </w:trPr>
                          <w:tc>
                            <w:tcPr>
                              <w:tcW w:w="8832" w:type="dxa"/>
                              <w:shd w:val="clear" w:color="auto" w:fill="FFFFFF"/>
                              <w:vAlign w:val="center"/>
                              <w:hideMark/>
                            </w:tcPr>
                            <w:p w14:paraId="5C94F908" w14:textId="77777777" w:rsidR="004412F2" w:rsidRDefault="004412F2" w:rsidP="00245634">
                              <w:pPr>
                                <w:jc w:val="both"/>
                                <w:rPr>
                                  <w:rFonts w:ascii="Arial" w:hAnsi="Arial" w:cs="Arial"/>
                                  <w:color w:val="2F2F2F"/>
                                  <w:sz w:val="22"/>
                                  <w:szCs w:val="22"/>
                                  <w:lang w:eastAsia="es-MX"/>
                                </w:rPr>
                              </w:pPr>
                              <w:hyperlink r:id="rId8" w:history="1">
                                <w:r w:rsidRPr="00245634">
                                  <w:rPr>
                                    <w:rFonts w:ascii="HelveticaNeueLT Std" w:hAnsi="HelveticaNeueLT Std"/>
                                    <w:b/>
                                    <w:bCs/>
                                    <w:sz w:val="20"/>
                                    <w:szCs w:val="20"/>
                                  </w:rPr>
                                  <w:t>Quinta Resolución de Modificaciones a la Resolución Miscelánea Fiscal para 2022 y sus Anexos 1-A y 14.</w:t>
                                </w:r>
                              </w:hyperlink>
                            </w:p>
                          </w:tc>
                          <w:tc>
                            <w:tcPr>
                              <w:tcW w:w="6" w:type="dxa"/>
                              <w:shd w:val="clear" w:color="auto" w:fill="FFFFFF"/>
                              <w:vAlign w:val="center"/>
                              <w:hideMark/>
                            </w:tcPr>
                            <w:p w14:paraId="5A229E84" w14:textId="77777777" w:rsidR="004412F2" w:rsidRDefault="004412F2" w:rsidP="004412F2">
                              <w:pPr>
                                <w:rPr>
                                  <w:rFonts w:ascii="Arial" w:hAnsi="Arial" w:cs="Arial"/>
                                  <w:color w:val="2F2F2F"/>
                                  <w:sz w:val="22"/>
                                  <w:szCs w:val="22"/>
                                </w:rPr>
                              </w:pPr>
                            </w:p>
                          </w:tc>
                        </w:tr>
                        <w:tr w:rsidR="004412F2" w14:paraId="095A0233" w14:textId="77777777" w:rsidTr="004412F2">
                          <w:trPr>
                            <w:trHeight w:val="180"/>
                            <w:tblCellSpacing w:w="0" w:type="dxa"/>
                          </w:trPr>
                          <w:tc>
                            <w:tcPr>
                              <w:tcW w:w="8832" w:type="dxa"/>
                              <w:shd w:val="clear" w:color="auto" w:fill="FFFFFF"/>
                              <w:hideMark/>
                            </w:tcPr>
                            <w:p w14:paraId="06D644DB" w14:textId="5C3D8DA6" w:rsidR="004412F2" w:rsidRDefault="004412F2" w:rsidP="004412F2">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78B5413F" wp14:editId="4B5D7AD1">
                                    <wp:extent cx="95250" cy="1143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651C4A44" w14:textId="77777777" w:rsidR="004412F2" w:rsidRDefault="004412F2" w:rsidP="004412F2">
                              <w:pPr>
                                <w:rPr>
                                  <w:sz w:val="20"/>
                                  <w:szCs w:val="20"/>
                                </w:rPr>
                              </w:pPr>
                            </w:p>
                          </w:tc>
                        </w:tr>
                      </w:tbl>
                      <w:p w14:paraId="49DA9DBA" w14:textId="518BBBED" w:rsidR="00196446" w:rsidRDefault="00196446" w:rsidP="00196446">
                        <w:pPr>
                          <w:jc w:val="both"/>
                          <w:rPr>
                            <w:rFonts w:ascii="Arial" w:hAnsi="Arial" w:cs="Arial"/>
                            <w:color w:val="2F2F2F"/>
                            <w:sz w:val="22"/>
                            <w:szCs w:val="22"/>
                            <w:lang w:eastAsia="es-MX"/>
                          </w:rPr>
                        </w:pPr>
                      </w:p>
                    </w:tc>
                    <w:tc>
                      <w:tcPr>
                        <w:tcW w:w="6" w:type="dxa"/>
                        <w:shd w:val="clear" w:color="auto" w:fill="FFFFFF"/>
                        <w:vAlign w:val="center"/>
                        <w:hideMark/>
                      </w:tcPr>
                      <w:p w14:paraId="62E1B9B7" w14:textId="77777777" w:rsidR="00196446" w:rsidRDefault="00196446" w:rsidP="00196446">
                        <w:pPr>
                          <w:rPr>
                            <w:rFonts w:ascii="Arial" w:hAnsi="Arial" w:cs="Arial"/>
                            <w:color w:val="2F2F2F"/>
                            <w:sz w:val="22"/>
                            <w:szCs w:val="22"/>
                          </w:rPr>
                        </w:pPr>
                      </w:p>
                    </w:tc>
                  </w:tr>
                  <w:tr w:rsidR="00196446" w14:paraId="089AAE9F" w14:textId="77777777" w:rsidTr="00196446">
                    <w:trPr>
                      <w:trHeight w:val="180"/>
                      <w:tblCellSpacing w:w="0" w:type="dxa"/>
                    </w:trPr>
                    <w:tc>
                      <w:tcPr>
                        <w:tcW w:w="8832" w:type="dxa"/>
                        <w:shd w:val="clear" w:color="auto" w:fill="FFFFFF"/>
                        <w:hideMark/>
                      </w:tcPr>
                      <w:p w14:paraId="470CBB00" w14:textId="4C72F2CC" w:rsidR="00196446" w:rsidRDefault="00196446" w:rsidP="00196446">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3A64D8B6" wp14:editId="5D777FE9">
                              <wp:extent cx="95250" cy="11430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4E6EB821" w14:textId="77777777" w:rsidR="00196446" w:rsidRDefault="00196446" w:rsidP="00196446">
                        <w:pPr>
                          <w:rPr>
                            <w:sz w:val="20"/>
                            <w:szCs w:val="20"/>
                          </w:rPr>
                        </w:pPr>
                      </w:p>
                    </w:tc>
                  </w:tr>
                </w:tbl>
                <w:p w14:paraId="0931BDD5" w14:textId="51B57C0D" w:rsidR="00640434" w:rsidRDefault="00640434" w:rsidP="00640434">
                  <w:pPr>
                    <w:jc w:val="both"/>
                    <w:rPr>
                      <w:rFonts w:ascii="Arial" w:hAnsi="Arial" w:cs="Arial"/>
                      <w:color w:val="2F2F2F"/>
                      <w:sz w:val="22"/>
                      <w:szCs w:val="22"/>
                      <w:lang w:eastAsia="es-MX"/>
                    </w:rPr>
                  </w:pPr>
                </w:p>
              </w:tc>
              <w:tc>
                <w:tcPr>
                  <w:tcW w:w="6" w:type="dxa"/>
                  <w:shd w:val="clear" w:color="auto" w:fill="FFFFFF"/>
                  <w:vAlign w:val="center"/>
                  <w:hideMark/>
                </w:tcPr>
                <w:p w14:paraId="544C5830" w14:textId="77777777" w:rsidR="00640434" w:rsidRDefault="00640434" w:rsidP="00640434">
                  <w:pPr>
                    <w:rPr>
                      <w:rFonts w:ascii="Arial" w:hAnsi="Arial" w:cs="Arial"/>
                      <w:color w:val="2F2F2F"/>
                      <w:sz w:val="22"/>
                      <w:szCs w:val="22"/>
                    </w:rPr>
                  </w:pPr>
                </w:p>
              </w:tc>
            </w:tr>
            <w:tr w:rsidR="00640434" w14:paraId="395B7BEF" w14:textId="77777777" w:rsidTr="00640434">
              <w:trPr>
                <w:trHeight w:val="180"/>
                <w:tblCellSpacing w:w="0" w:type="dxa"/>
              </w:trPr>
              <w:tc>
                <w:tcPr>
                  <w:tcW w:w="8832" w:type="dxa"/>
                  <w:shd w:val="clear" w:color="auto" w:fill="FFFFFF"/>
                  <w:hideMark/>
                </w:tcPr>
                <w:p w14:paraId="2220D2FD" w14:textId="68DC923F" w:rsidR="00640434" w:rsidRDefault="00640434" w:rsidP="00640434">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150F5B64" wp14:editId="0DE36D16">
                        <wp:extent cx="95250" cy="11112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p>
              </w:tc>
              <w:tc>
                <w:tcPr>
                  <w:tcW w:w="6" w:type="dxa"/>
                  <w:shd w:val="clear" w:color="auto" w:fill="FFFFFF"/>
                  <w:vAlign w:val="center"/>
                  <w:hideMark/>
                </w:tcPr>
                <w:p w14:paraId="604B0714" w14:textId="77777777" w:rsidR="00640434" w:rsidRDefault="00640434" w:rsidP="00640434">
                  <w:pPr>
                    <w:rPr>
                      <w:sz w:val="20"/>
                      <w:szCs w:val="20"/>
                    </w:rPr>
                  </w:pPr>
                </w:p>
              </w:tc>
            </w:tr>
          </w:tbl>
          <w:p w14:paraId="206512B6" w14:textId="0B1B455C" w:rsidR="009A45CF" w:rsidRPr="00DD7C82" w:rsidRDefault="009A45CF" w:rsidP="00DD7C82">
            <w:pPr>
              <w:spacing w:line="276" w:lineRule="auto"/>
              <w:jc w:val="both"/>
              <w:rPr>
                <w:rFonts w:ascii="HelveticaNeueLT Std" w:hAnsi="HelveticaNeueLT Std" w:cs="Arial"/>
                <w:b/>
                <w:bCs/>
                <w:sz w:val="20"/>
                <w:szCs w:val="20"/>
              </w:rPr>
            </w:pPr>
          </w:p>
        </w:tc>
        <w:tc>
          <w:tcPr>
            <w:tcW w:w="5812" w:type="dxa"/>
            <w:tcBorders>
              <w:bottom w:val="single" w:sz="4" w:space="0" w:color="auto"/>
            </w:tcBorders>
          </w:tcPr>
          <w:p w14:paraId="00B673D2" w14:textId="689070EE" w:rsidR="00196446" w:rsidRPr="00212872" w:rsidRDefault="009F2391" w:rsidP="00212872">
            <w:pPr>
              <w:jc w:val="both"/>
              <w:rPr>
                <w:rFonts w:ascii="HelveticaNeueLT Std Lt" w:eastAsia="Times New Roman" w:hAnsi="HelveticaNeueLT Std Lt" w:cs="Arial"/>
                <w:sz w:val="20"/>
                <w:szCs w:val="20"/>
                <w:lang w:eastAsia="es-MX"/>
              </w:rPr>
            </w:pPr>
            <w:r w:rsidRPr="00EB4A8D">
              <w:rPr>
                <w:rFonts w:ascii="HelveticaNeueLT Std Lt" w:eastAsia="Times New Roman" w:hAnsi="HelveticaNeueLT Std Lt" w:cs="Arial"/>
                <w:sz w:val="20"/>
                <w:szCs w:val="20"/>
                <w:lang w:eastAsia="es-MX"/>
              </w:rPr>
              <w:t xml:space="preserve"> </w:t>
            </w:r>
          </w:p>
          <w:p w14:paraId="4D178001" w14:textId="77777777" w:rsidR="00212872" w:rsidRDefault="00212872" w:rsidP="00212872">
            <w:pPr>
              <w:jc w:val="both"/>
              <w:rPr>
                <w:rFonts w:ascii="HelveticaNeueLT Std Lt" w:eastAsia="Times New Roman" w:hAnsi="HelveticaNeueLT Std Lt" w:cs="Arial"/>
                <w:sz w:val="20"/>
                <w:szCs w:val="20"/>
                <w:lang w:eastAsia="es-MX"/>
              </w:rPr>
            </w:pPr>
            <w:r w:rsidRPr="00212872">
              <w:rPr>
                <w:rFonts w:ascii="HelveticaNeueLT Std Lt" w:eastAsia="Times New Roman" w:hAnsi="HelveticaNeueLT Std Lt" w:cs="Arial"/>
                <w:sz w:val="20"/>
                <w:szCs w:val="20"/>
                <w:lang w:eastAsia="es-MX"/>
              </w:rPr>
              <w:t xml:space="preserve">Se </w:t>
            </w:r>
            <w:r w:rsidRPr="00212872">
              <w:rPr>
                <w:rFonts w:ascii="HelveticaNeueLT Std Lt" w:eastAsia="Times New Roman" w:hAnsi="HelveticaNeueLT Std Lt" w:cs="Arial"/>
                <w:b/>
                <w:sz w:val="20"/>
                <w:szCs w:val="20"/>
                <w:lang w:eastAsia="es-MX"/>
              </w:rPr>
              <w:t>reforman</w:t>
            </w:r>
            <w:r w:rsidRPr="00212872">
              <w:rPr>
                <w:rFonts w:ascii="HelveticaNeueLT Std Lt" w:eastAsia="Times New Roman" w:hAnsi="HelveticaNeueLT Std Lt" w:cs="Arial"/>
                <w:sz w:val="20"/>
                <w:szCs w:val="20"/>
                <w:lang w:eastAsia="es-MX"/>
              </w:rPr>
              <w:t xml:space="preserve"> las reglas 2.5.11., párrafos segundo y tercero y 2.7.4.8., segundo párrafo y </w:t>
            </w:r>
            <w:r w:rsidRPr="00212872">
              <w:rPr>
                <w:rFonts w:ascii="HelveticaNeueLT Std Lt" w:eastAsia="Times New Roman" w:hAnsi="HelveticaNeueLT Std Lt" w:cs="Arial"/>
                <w:b/>
                <w:sz w:val="20"/>
                <w:szCs w:val="20"/>
                <w:lang w:eastAsia="es-MX"/>
              </w:rPr>
              <w:t>se adicionan</w:t>
            </w:r>
            <w:r w:rsidRPr="00212872">
              <w:rPr>
                <w:rFonts w:ascii="HelveticaNeueLT Std Lt" w:eastAsia="Times New Roman" w:hAnsi="HelveticaNeueLT Std Lt" w:cs="Arial"/>
                <w:sz w:val="20"/>
                <w:szCs w:val="20"/>
                <w:lang w:eastAsia="es-MX"/>
              </w:rPr>
              <w:t xml:space="preserve"> las reglas 2.1.6., fracción I, pasando las actuales fracciones I y II, a ser II y III, y 13.1., fracción VI, de la Resolución Miscelánea Fiscal para 2022</w:t>
            </w:r>
            <w:r>
              <w:rPr>
                <w:rFonts w:ascii="HelveticaNeueLT Std Lt" w:eastAsia="Times New Roman" w:hAnsi="HelveticaNeueLT Std Lt" w:cs="Arial"/>
                <w:sz w:val="20"/>
                <w:szCs w:val="20"/>
                <w:lang w:eastAsia="es-MX"/>
              </w:rPr>
              <w:t xml:space="preserve">, en </w:t>
            </w:r>
            <w:proofErr w:type="spellStart"/>
            <w:r>
              <w:rPr>
                <w:rFonts w:ascii="HelveticaNeueLT Std Lt" w:eastAsia="Times New Roman" w:hAnsi="HelveticaNeueLT Std Lt" w:cs="Arial"/>
                <w:sz w:val="20"/>
                <w:szCs w:val="20"/>
                <w:lang w:eastAsia="es-MX"/>
              </w:rPr>
              <w:t>lo</w:t>
            </w:r>
            <w:proofErr w:type="spellEnd"/>
            <w:r>
              <w:rPr>
                <w:rFonts w:ascii="HelveticaNeueLT Std Lt" w:eastAsia="Times New Roman" w:hAnsi="HelveticaNeueLT Std Lt" w:cs="Arial"/>
                <w:sz w:val="20"/>
                <w:szCs w:val="20"/>
                <w:lang w:eastAsia="es-MX"/>
              </w:rPr>
              <w:t xml:space="preserve"> siguientes puntos: </w:t>
            </w:r>
          </w:p>
          <w:p w14:paraId="68CECF86" w14:textId="77777777" w:rsidR="00212872" w:rsidRDefault="00212872" w:rsidP="00212872">
            <w:pPr>
              <w:jc w:val="both"/>
              <w:rPr>
                <w:rFonts w:ascii="HelveticaNeueLT Std Lt" w:eastAsia="Times New Roman" w:hAnsi="HelveticaNeueLT Std Lt" w:cs="Arial"/>
                <w:sz w:val="20"/>
                <w:szCs w:val="20"/>
                <w:lang w:eastAsia="es-MX"/>
              </w:rPr>
            </w:pPr>
          </w:p>
          <w:p w14:paraId="0A90B498" w14:textId="77777777" w:rsidR="00212872" w:rsidRPr="00212872" w:rsidRDefault="00212872" w:rsidP="00212872">
            <w:pPr>
              <w:pStyle w:val="Prrafodelista"/>
              <w:numPr>
                <w:ilvl w:val="0"/>
                <w:numId w:val="18"/>
              </w:numPr>
              <w:rPr>
                <w:rFonts w:ascii="HelveticaNeueLT Std Lt" w:eastAsia="Times New Roman" w:hAnsi="HelveticaNeueLT Std Lt" w:cs="Arial"/>
                <w:b/>
                <w:sz w:val="20"/>
                <w:szCs w:val="20"/>
                <w:lang w:eastAsia="es-MX"/>
              </w:rPr>
            </w:pPr>
            <w:r w:rsidRPr="00212872">
              <w:rPr>
                <w:rFonts w:ascii="HelveticaNeueLT Std Lt" w:eastAsia="Times New Roman" w:hAnsi="HelveticaNeueLT Std Lt" w:cs="Arial"/>
                <w:b/>
                <w:sz w:val="20"/>
                <w:szCs w:val="20"/>
                <w:lang w:eastAsia="es-MX"/>
              </w:rPr>
              <w:t>Días inhábiles</w:t>
            </w:r>
          </w:p>
          <w:p w14:paraId="6C6CF013" w14:textId="77777777" w:rsidR="00212872" w:rsidRPr="00212872" w:rsidRDefault="00212872" w:rsidP="00212872">
            <w:pPr>
              <w:pStyle w:val="Prrafodelista"/>
              <w:numPr>
                <w:ilvl w:val="0"/>
                <w:numId w:val="18"/>
              </w:numPr>
              <w:rPr>
                <w:rFonts w:ascii="HelveticaNeueLT Std Lt" w:eastAsia="Times New Roman" w:hAnsi="HelveticaNeueLT Std Lt" w:cs="Arial"/>
                <w:b/>
                <w:sz w:val="20"/>
                <w:szCs w:val="20"/>
                <w:lang w:eastAsia="es-MX"/>
              </w:rPr>
            </w:pPr>
            <w:r w:rsidRPr="00212872">
              <w:rPr>
                <w:rFonts w:ascii="HelveticaNeueLT Std Lt" w:eastAsia="Times New Roman" w:hAnsi="HelveticaNeueLT Std Lt" w:cs="Arial"/>
                <w:b/>
                <w:sz w:val="20"/>
                <w:szCs w:val="20"/>
                <w:lang w:eastAsia="es-MX"/>
              </w:rPr>
              <w:t>Cambio de domicilio fiscal</w:t>
            </w:r>
          </w:p>
          <w:p w14:paraId="2A430655" w14:textId="77777777" w:rsidR="00212872" w:rsidRPr="00212872" w:rsidRDefault="00212872" w:rsidP="00212872">
            <w:pPr>
              <w:pStyle w:val="Texto"/>
              <w:numPr>
                <w:ilvl w:val="0"/>
                <w:numId w:val="18"/>
              </w:numPr>
              <w:spacing w:after="94"/>
              <w:rPr>
                <w:rFonts w:ascii="HelveticaNeueLT Std Lt" w:hAnsi="HelveticaNeueLT Std Lt"/>
                <w:b/>
                <w:sz w:val="20"/>
                <w:lang w:val="es-MX" w:eastAsia="es-MX"/>
              </w:rPr>
            </w:pPr>
            <w:r w:rsidRPr="00212872">
              <w:rPr>
                <w:rFonts w:ascii="HelveticaNeueLT Std Lt" w:hAnsi="HelveticaNeueLT Std Lt"/>
                <w:b/>
                <w:sz w:val="20"/>
                <w:lang w:val="es-MX" w:eastAsia="es-MX"/>
              </w:rPr>
              <w:t xml:space="preserve">Requisitos para que el proveedor de certificación y generación de </w:t>
            </w:r>
            <w:proofErr w:type="spellStart"/>
            <w:r w:rsidRPr="00212872">
              <w:rPr>
                <w:rFonts w:ascii="HelveticaNeueLT Std Lt" w:hAnsi="HelveticaNeueLT Std Lt"/>
                <w:b/>
                <w:sz w:val="20"/>
                <w:lang w:val="es-MX" w:eastAsia="es-MX"/>
              </w:rPr>
              <w:t>CFDI</w:t>
            </w:r>
            <w:proofErr w:type="spellEnd"/>
            <w:r w:rsidRPr="00212872">
              <w:rPr>
                <w:rFonts w:ascii="HelveticaNeueLT Std Lt" w:hAnsi="HelveticaNeueLT Std Lt"/>
                <w:b/>
                <w:sz w:val="20"/>
                <w:lang w:val="es-MX" w:eastAsia="es-MX"/>
              </w:rPr>
              <w:t xml:space="preserve"> para el sector primario renueve la vigencia de la autorización</w:t>
            </w:r>
          </w:p>
          <w:p w14:paraId="6856C76A" w14:textId="5F37B44F" w:rsidR="00212872" w:rsidRDefault="00212872" w:rsidP="00212872">
            <w:pPr>
              <w:pStyle w:val="Prrafodelista"/>
              <w:numPr>
                <w:ilvl w:val="0"/>
                <w:numId w:val="18"/>
              </w:numPr>
              <w:rPr>
                <w:rFonts w:ascii="HelveticaNeueLT Std Lt" w:eastAsia="Times New Roman" w:hAnsi="HelveticaNeueLT Std Lt" w:cs="Arial"/>
                <w:b/>
                <w:sz w:val="20"/>
                <w:szCs w:val="20"/>
                <w:lang w:eastAsia="es-MX"/>
              </w:rPr>
            </w:pPr>
            <w:r w:rsidRPr="00212872">
              <w:rPr>
                <w:rFonts w:ascii="HelveticaNeueLT Std Lt" w:eastAsia="Times New Roman" w:hAnsi="HelveticaNeueLT Std Lt" w:cs="Arial"/>
                <w:b/>
                <w:sz w:val="20"/>
                <w:szCs w:val="20"/>
                <w:lang w:eastAsia="es-MX"/>
              </w:rPr>
              <w:t>Declaración de pago de los derechos por la utilidad compartida y de extracción de hidrocarburos</w:t>
            </w:r>
          </w:p>
          <w:p w14:paraId="770D3547" w14:textId="7FCD4512" w:rsidR="00212872" w:rsidRDefault="00212872" w:rsidP="00212872">
            <w:pPr>
              <w:rPr>
                <w:rFonts w:ascii="HelveticaNeueLT Std Lt" w:eastAsia="Times New Roman" w:hAnsi="HelveticaNeueLT Std Lt" w:cs="Arial"/>
                <w:b/>
                <w:sz w:val="20"/>
                <w:szCs w:val="20"/>
                <w:lang w:eastAsia="es-MX"/>
              </w:rPr>
            </w:pPr>
          </w:p>
          <w:p w14:paraId="6D617186" w14:textId="12E74E6F" w:rsidR="00212872" w:rsidRPr="00212872" w:rsidRDefault="00212872" w:rsidP="00212872">
            <w:pPr>
              <w:pStyle w:val="Texto"/>
              <w:spacing w:line="228" w:lineRule="exact"/>
              <w:ind w:firstLine="0"/>
              <w:rPr>
                <w:rFonts w:ascii="HelveticaNeueLT Std Lt" w:hAnsi="HelveticaNeueLT Std Lt"/>
                <w:sz w:val="20"/>
                <w:lang w:val="es-MX" w:eastAsia="es-MX"/>
              </w:rPr>
            </w:pPr>
            <w:r w:rsidRPr="00212872">
              <w:rPr>
                <w:rFonts w:ascii="HelveticaNeueLT Std Lt" w:hAnsi="HelveticaNeueLT Std Lt"/>
                <w:sz w:val="20"/>
                <w:lang w:val="es-MX" w:eastAsia="es-MX"/>
              </w:rPr>
              <w:t>S</w:t>
            </w:r>
            <w:r w:rsidRPr="00212872">
              <w:rPr>
                <w:rFonts w:ascii="HelveticaNeueLT Std Lt" w:hAnsi="HelveticaNeueLT Std Lt"/>
                <w:sz w:val="20"/>
                <w:lang w:val="es-MX" w:eastAsia="es-MX"/>
              </w:rPr>
              <w:t>e da a conocer el texto actualizado de las reglas a que se refiere el Resolutivo Primero de la presente Resolución.</w:t>
            </w:r>
          </w:p>
          <w:p w14:paraId="4E4D0C14" w14:textId="160A8966" w:rsidR="00212872" w:rsidRDefault="00212872" w:rsidP="00212872">
            <w:pPr>
              <w:pStyle w:val="Texto"/>
              <w:ind w:firstLine="0"/>
              <w:rPr>
                <w:rFonts w:ascii="HelveticaNeueLT Std Lt" w:hAnsi="HelveticaNeueLT Std Lt"/>
                <w:sz w:val="20"/>
                <w:lang w:val="es-MX" w:eastAsia="es-MX"/>
              </w:rPr>
            </w:pPr>
            <w:r w:rsidRPr="00212872">
              <w:rPr>
                <w:rFonts w:ascii="HelveticaNeueLT Std Lt" w:hAnsi="HelveticaNeueLT Std Lt"/>
                <w:sz w:val="20"/>
                <w:lang w:val="es-MX" w:eastAsia="es-MX"/>
              </w:rPr>
              <w:t>En caso de discrepancia entre el contenido del Resolutivo Primero y del presente, prevalece el texto del Resolutivo Primero.</w:t>
            </w:r>
          </w:p>
          <w:p w14:paraId="1C366EB4" w14:textId="77777777" w:rsidR="00212872" w:rsidRPr="00212872" w:rsidRDefault="00212872" w:rsidP="00212872">
            <w:pPr>
              <w:pStyle w:val="Prrafodelista"/>
              <w:numPr>
                <w:ilvl w:val="0"/>
                <w:numId w:val="18"/>
              </w:numPr>
              <w:rPr>
                <w:rFonts w:ascii="HelveticaNeueLT Std Lt" w:eastAsia="Times New Roman" w:hAnsi="HelveticaNeueLT Std Lt" w:cs="Arial"/>
                <w:b/>
                <w:sz w:val="20"/>
                <w:szCs w:val="20"/>
                <w:lang w:eastAsia="es-MX"/>
              </w:rPr>
            </w:pPr>
            <w:r w:rsidRPr="00212872">
              <w:rPr>
                <w:rFonts w:ascii="HelveticaNeueLT Std Lt" w:eastAsia="Times New Roman" w:hAnsi="HelveticaNeueLT Std Lt" w:cs="Arial"/>
                <w:b/>
                <w:sz w:val="20"/>
                <w:szCs w:val="20"/>
                <w:lang w:eastAsia="es-MX"/>
              </w:rPr>
              <w:t>Días inhábiles</w:t>
            </w:r>
          </w:p>
          <w:p w14:paraId="6F41B48C" w14:textId="77777777" w:rsidR="00212872" w:rsidRPr="00212872" w:rsidRDefault="00212872" w:rsidP="00212872">
            <w:pPr>
              <w:pStyle w:val="Prrafodelista"/>
              <w:numPr>
                <w:ilvl w:val="0"/>
                <w:numId w:val="18"/>
              </w:numPr>
              <w:rPr>
                <w:rFonts w:ascii="HelveticaNeueLT Std Lt" w:eastAsia="Times New Roman" w:hAnsi="HelveticaNeueLT Std Lt" w:cs="Arial"/>
                <w:b/>
                <w:sz w:val="20"/>
                <w:szCs w:val="20"/>
                <w:lang w:eastAsia="es-MX"/>
              </w:rPr>
            </w:pPr>
            <w:r w:rsidRPr="00212872">
              <w:rPr>
                <w:rFonts w:ascii="HelveticaNeueLT Std Lt" w:eastAsia="Times New Roman" w:hAnsi="HelveticaNeueLT Std Lt" w:cs="Arial"/>
                <w:b/>
                <w:sz w:val="20"/>
                <w:szCs w:val="20"/>
                <w:lang w:eastAsia="es-MX"/>
              </w:rPr>
              <w:t>Cambio de domicilio fiscal</w:t>
            </w:r>
          </w:p>
          <w:p w14:paraId="46B851CD" w14:textId="77777777" w:rsidR="00212872" w:rsidRPr="00212872" w:rsidRDefault="00212872" w:rsidP="00212872">
            <w:pPr>
              <w:pStyle w:val="Prrafodelista"/>
              <w:numPr>
                <w:ilvl w:val="0"/>
                <w:numId w:val="18"/>
              </w:numPr>
              <w:rPr>
                <w:rFonts w:ascii="HelveticaNeueLT Std Lt" w:eastAsia="Times New Roman" w:hAnsi="HelveticaNeueLT Std Lt" w:cs="Arial"/>
                <w:b/>
                <w:sz w:val="20"/>
                <w:szCs w:val="20"/>
                <w:lang w:eastAsia="es-MX"/>
              </w:rPr>
            </w:pPr>
            <w:r w:rsidRPr="00212872">
              <w:rPr>
                <w:rFonts w:ascii="HelveticaNeueLT Std Lt" w:eastAsia="Times New Roman" w:hAnsi="HelveticaNeueLT Std Lt" w:cs="Arial"/>
                <w:b/>
                <w:sz w:val="20"/>
                <w:szCs w:val="20"/>
                <w:lang w:eastAsia="es-MX"/>
              </w:rPr>
              <w:t xml:space="preserve">Requisitos para que el proveedor de certificación y generación de </w:t>
            </w:r>
            <w:proofErr w:type="spellStart"/>
            <w:r w:rsidRPr="00212872">
              <w:rPr>
                <w:rFonts w:ascii="HelveticaNeueLT Std Lt" w:eastAsia="Times New Roman" w:hAnsi="HelveticaNeueLT Std Lt" w:cs="Arial"/>
                <w:b/>
                <w:sz w:val="20"/>
                <w:szCs w:val="20"/>
                <w:lang w:eastAsia="es-MX"/>
              </w:rPr>
              <w:t>CFDI</w:t>
            </w:r>
            <w:proofErr w:type="spellEnd"/>
            <w:r w:rsidRPr="00212872">
              <w:rPr>
                <w:rFonts w:ascii="HelveticaNeueLT Std Lt" w:eastAsia="Times New Roman" w:hAnsi="HelveticaNeueLT Std Lt" w:cs="Arial"/>
                <w:b/>
                <w:sz w:val="20"/>
                <w:szCs w:val="20"/>
                <w:lang w:eastAsia="es-MX"/>
              </w:rPr>
              <w:t xml:space="preserve"> para el sector primario renueve la vigencia de la autorización</w:t>
            </w:r>
          </w:p>
          <w:p w14:paraId="2826F187" w14:textId="7FC85295" w:rsidR="00212872" w:rsidRDefault="00212872" w:rsidP="00212872">
            <w:pPr>
              <w:pStyle w:val="Prrafodelista"/>
              <w:numPr>
                <w:ilvl w:val="0"/>
                <w:numId w:val="18"/>
              </w:numPr>
              <w:rPr>
                <w:rFonts w:ascii="HelveticaNeueLT Std Lt" w:eastAsia="Times New Roman" w:hAnsi="HelveticaNeueLT Std Lt" w:cs="Arial"/>
                <w:b/>
                <w:sz w:val="20"/>
                <w:szCs w:val="20"/>
                <w:lang w:eastAsia="es-MX"/>
              </w:rPr>
            </w:pPr>
            <w:r w:rsidRPr="00212872">
              <w:rPr>
                <w:rFonts w:ascii="HelveticaNeueLT Std Lt" w:eastAsia="Times New Roman" w:hAnsi="HelveticaNeueLT Std Lt" w:cs="Arial"/>
                <w:b/>
                <w:sz w:val="20"/>
                <w:szCs w:val="20"/>
                <w:lang w:eastAsia="es-MX"/>
              </w:rPr>
              <w:t>Declaración de pago de los derechos por la utilidad compartida y de extracción de hidrocarburos</w:t>
            </w:r>
            <w:r>
              <w:rPr>
                <w:rFonts w:ascii="HelveticaNeueLT Std Lt" w:eastAsia="Times New Roman" w:hAnsi="HelveticaNeueLT Std Lt" w:cs="Arial"/>
                <w:b/>
                <w:sz w:val="20"/>
                <w:szCs w:val="20"/>
                <w:lang w:eastAsia="es-MX"/>
              </w:rPr>
              <w:t xml:space="preserve">. </w:t>
            </w:r>
          </w:p>
          <w:p w14:paraId="431507EE" w14:textId="5F31100C" w:rsidR="00212872" w:rsidRDefault="00212872" w:rsidP="00212872">
            <w:pPr>
              <w:rPr>
                <w:rFonts w:ascii="HelveticaNeueLT Std Lt" w:eastAsia="Times New Roman" w:hAnsi="HelveticaNeueLT Std Lt" w:cs="Arial"/>
                <w:b/>
                <w:sz w:val="20"/>
                <w:szCs w:val="20"/>
                <w:lang w:eastAsia="es-MX"/>
              </w:rPr>
            </w:pPr>
          </w:p>
          <w:p w14:paraId="0FBFB6B1" w14:textId="77777777" w:rsidR="00212872" w:rsidRDefault="00212872" w:rsidP="00212872">
            <w:pPr>
              <w:jc w:val="both"/>
              <w:rPr>
                <w:sz w:val="20"/>
                <w:lang w:eastAsia="es-MX"/>
              </w:rPr>
            </w:pPr>
          </w:p>
          <w:p w14:paraId="608BA1DD" w14:textId="00E5ECF2" w:rsidR="00212872" w:rsidRPr="00212872" w:rsidRDefault="00212872" w:rsidP="00212872">
            <w:pPr>
              <w:jc w:val="both"/>
              <w:rPr>
                <w:sz w:val="20"/>
                <w:lang w:eastAsia="es-MX"/>
              </w:rPr>
            </w:pPr>
          </w:p>
        </w:tc>
      </w:tr>
      <w:tr w:rsidR="00212872" w:rsidRPr="000D4D13" w14:paraId="28EB9670" w14:textId="77777777" w:rsidTr="00FF5604">
        <w:trPr>
          <w:trHeight w:val="277"/>
        </w:trPr>
        <w:tc>
          <w:tcPr>
            <w:tcW w:w="617" w:type="dxa"/>
            <w:tcBorders>
              <w:top w:val="single" w:sz="4" w:space="0" w:color="auto"/>
              <w:bottom w:val="nil"/>
            </w:tcBorders>
          </w:tcPr>
          <w:p w14:paraId="6B03790D" w14:textId="77777777" w:rsidR="00212872" w:rsidRPr="000D4D13" w:rsidRDefault="00212872" w:rsidP="009A45CF">
            <w:pPr>
              <w:spacing w:line="276" w:lineRule="auto"/>
              <w:jc w:val="center"/>
              <w:rPr>
                <w:rFonts w:ascii="HelveticaNeueLT Std" w:hAnsi="HelveticaNeueLT Std" w:cs="Arial"/>
                <w:b/>
                <w:bCs/>
                <w:sz w:val="20"/>
                <w:szCs w:val="20"/>
              </w:rPr>
            </w:pPr>
          </w:p>
        </w:tc>
        <w:tc>
          <w:tcPr>
            <w:tcW w:w="2127" w:type="dxa"/>
            <w:tcBorders>
              <w:top w:val="single" w:sz="4" w:space="0" w:color="auto"/>
              <w:bottom w:val="nil"/>
            </w:tcBorders>
          </w:tcPr>
          <w:p w14:paraId="7F47C84D" w14:textId="77777777" w:rsidR="00212872" w:rsidRPr="00B80921" w:rsidRDefault="0021287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bottom w:val="nil"/>
            </w:tcBorders>
          </w:tcPr>
          <w:p w14:paraId="7FDC376B" w14:textId="77777777" w:rsidR="00212872" w:rsidRPr="00B80921" w:rsidRDefault="0021287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bottom w:val="nil"/>
            </w:tcBorders>
          </w:tcPr>
          <w:p w14:paraId="3E46F10B" w14:textId="77777777" w:rsidR="00212872" w:rsidRPr="00245634" w:rsidRDefault="00212872" w:rsidP="00245634">
            <w:pPr>
              <w:jc w:val="both"/>
              <w:rPr>
                <w:rFonts w:ascii="HelveticaNeueLT Std" w:hAnsi="HelveticaNeueLT Std" w:cs="Arial"/>
                <w:b/>
                <w:bCs/>
                <w:sz w:val="20"/>
                <w:szCs w:val="20"/>
              </w:rPr>
            </w:pPr>
          </w:p>
        </w:tc>
        <w:tc>
          <w:tcPr>
            <w:tcW w:w="5812" w:type="dxa"/>
            <w:tcBorders>
              <w:bottom w:val="nil"/>
            </w:tcBorders>
          </w:tcPr>
          <w:p w14:paraId="6FD97A2F" w14:textId="77777777" w:rsidR="00212872" w:rsidRPr="00212872" w:rsidRDefault="00212872" w:rsidP="00212872">
            <w:pPr>
              <w:rPr>
                <w:rFonts w:ascii="HelveticaNeueLT Std Lt" w:eastAsia="Times New Roman" w:hAnsi="HelveticaNeueLT Std Lt" w:cs="Arial"/>
                <w:sz w:val="20"/>
                <w:szCs w:val="20"/>
                <w:lang w:eastAsia="es-MX"/>
              </w:rPr>
            </w:pPr>
            <w:r w:rsidRPr="00212872">
              <w:rPr>
                <w:rFonts w:ascii="HelveticaNeueLT Std Lt" w:eastAsia="Times New Roman" w:hAnsi="HelveticaNeueLT Std Lt" w:cs="Arial"/>
                <w:sz w:val="20"/>
                <w:szCs w:val="20"/>
                <w:lang w:eastAsia="es-MX"/>
              </w:rPr>
              <w:t>Se reforman los Transitorios Quinto, Décimo, Décimo Primero, Décimo Séptimo y Trigésimo Octavo de la Resolución Miscelánea Fiscal para 2022 y sus modificaciones posteriores</w:t>
            </w:r>
          </w:p>
          <w:p w14:paraId="337D73F6" w14:textId="77777777" w:rsidR="00212872" w:rsidRDefault="00212872" w:rsidP="00212872">
            <w:pPr>
              <w:jc w:val="both"/>
              <w:rPr>
                <w:rFonts w:ascii="HelveticaNeueLT Std Lt" w:eastAsia="Times New Roman" w:hAnsi="HelveticaNeueLT Std Lt" w:cs="Arial"/>
                <w:sz w:val="20"/>
                <w:szCs w:val="20"/>
                <w:lang w:eastAsia="es-MX"/>
              </w:rPr>
            </w:pPr>
          </w:p>
          <w:p w14:paraId="55A021EE" w14:textId="77777777" w:rsidR="00212872" w:rsidRPr="00212872" w:rsidRDefault="00212872" w:rsidP="00212872">
            <w:pPr>
              <w:pStyle w:val="Texto"/>
              <w:spacing w:line="270" w:lineRule="exact"/>
              <w:ind w:firstLine="0"/>
              <w:rPr>
                <w:rFonts w:ascii="HelveticaNeueLT Std Lt" w:hAnsi="HelveticaNeueLT Std Lt"/>
                <w:sz w:val="20"/>
                <w:lang w:val="es-MX" w:eastAsia="es-MX"/>
              </w:rPr>
            </w:pPr>
            <w:r w:rsidRPr="00212872">
              <w:rPr>
                <w:rFonts w:ascii="HelveticaNeueLT Std Lt" w:hAnsi="HelveticaNeueLT Std Lt"/>
                <w:sz w:val="20"/>
                <w:lang w:val="es-MX" w:eastAsia="es-MX"/>
              </w:rPr>
              <w:t>Se modifican los Anexos 1-A y 14 de la Resolución Miscelánea Fiscal para 2022.</w:t>
            </w:r>
          </w:p>
          <w:p w14:paraId="63FD8D54" w14:textId="77777777" w:rsidR="00212872" w:rsidRDefault="00212872" w:rsidP="00212872">
            <w:pPr>
              <w:jc w:val="both"/>
              <w:rPr>
                <w:rFonts w:ascii="HelveticaNeueLT Std Lt" w:eastAsia="Times New Roman" w:hAnsi="HelveticaNeueLT Std Lt" w:cs="Arial"/>
                <w:sz w:val="20"/>
                <w:szCs w:val="20"/>
                <w:lang w:eastAsia="es-MX"/>
              </w:rPr>
            </w:pPr>
            <w:r w:rsidRPr="00212872">
              <w:rPr>
                <w:rFonts w:ascii="HelveticaNeueLT Std Lt" w:eastAsia="Times New Roman" w:hAnsi="HelveticaNeueLT Std Lt" w:cs="Arial"/>
                <w:sz w:val="20"/>
                <w:szCs w:val="20"/>
                <w:lang w:eastAsia="es-MX"/>
              </w:rPr>
              <w:t xml:space="preserve">La presente Resolución entrará en vigor el día </w:t>
            </w:r>
            <w:r>
              <w:rPr>
                <w:rFonts w:ascii="HelveticaNeueLT Std Lt" w:eastAsia="Times New Roman" w:hAnsi="HelveticaNeueLT Std Lt" w:cs="Arial"/>
                <w:sz w:val="20"/>
                <w:szCs w:val="20"/>
                <w:lang w:eastAsia="es-MX"/>
              </w:rPr>
              <w:t>16 de julio del 2022</w:t>
            </w:r>
            <w:r w:rsidRPr="00212872">
              <w:rPr>
                <w:rFonts w:ascii="HelveticaNeueLT Std Lt" w:eastAsia="Times New Roman" w:hAnsi="HelveticaNeueLT Std Lt" w:cs="Arial"/>
                <w:sz w:val="20"/>
                <w:szCs w:val="20"/>
                <w:lang w:eastAsia="es-MX"/>
              </w:rPr>
              <w:t xml:space="preserve"> en el D</w:t>
            </w:r>
            <w:r>
              <w:rPr>
                <w:rFonts w:ascii="HelveticaNeueLT Std Lt" w:eastAsia="Times New Roman" w:hAnsi="HelveticaNeueLT Std Lt" w:cs="Arial"/>
                <w:sz w:val="20"/>
                <w:szCs w:val="20"/>
                <w:lang w:eastAsia="es-MX"/>
              </w:rPr>
              <w:t xml:space="preserve">iario </w:t>
            </w:r>
            <w:r w:rsidRPr="00212872">
              <w:rPr>
                <w:rFonts w:ascii="HelveticaNeueLT Std Lt" w:eastAsia="Times New Roman" w:hAnsi="HelveticaNeueLT Std Lt" w:cs="Arial"/>
                <w:sz w:val="20"/>
                <w:szCs w:val="20"/>
                <w:lang w:eastAsia="es-MX"/>
              </w:rPr>
              <w:t>O</w:t>
            </w:r>
            <w:r>
              <w:rPr>
                <w:rFonts w:ascii="HelveticaNeueLT Std Lt" w:eastAsia="Times New Roman" w:hAnsi="HelveticaNeueLT Std Lt" w:cs="Arial"/>
                <w:sz w:val="20"/>
                <w:szCs w:val="20"/>
                <w:lang w:eastAsia="es-MX"/>
              </w:rPr>
              <w:t xml:space="preserve">ficial de la </w:t>
            </w:r>
            <w:r w:rsidRPr="00212872">
              <w:rPr>
                <w:rFonts w:ascii="HelveticaNeueLT Std Lt" w:eastAsia="Times New Roman" w:hAnsi="HelveticaNeueLT Std Lt" w:cs="Arial"/>
                <w:sz w:val="20"/>
                <w:szCs w:val="20"/>
                <w:lang w:eastAsia="es-MX"/>
              </w:rPr>
              <w:t>F</w:t>
            </w:r>
            <w:r>
              <w:rPr>
                <w:rFonts w:ascii="HelveticaNeueLT Std Lt" w:eastAsia="Times New Roman" w:hAnsi="HelveticaNeueLT Std Lt" w:cs="Arial"/>
                <w:sz w:val="20"/>
                <w:szCs w:val="20"/>
                <w:lang w:eastAsia="es-MX"/>
              </w:rPr>
              <w:t>ederación</w:t>
            </w:r>
            <w:r w:rsidRPr="00212872">
              <w:rPr>
                <w:rFonts w:ascii="HelveticaNeueLT Std Lt" w:eastAsia="Times New Roman" w:hAnsi="HelveticaNeueLT Std Lt" w:cs="Arial"/>
                <w:sz w:val="20"/>
                <w:szCs w:val="20"/>
                <w:lang w:eastAsia="es-MX"/>
              </w:rPr>
              <w:t xml:space="preserve"> y su contenido surtirá sus efectos en términos de la regla 1.8., tercer párrafo de la </w:t>
            </w:r>
            <w:proofErr w:type="spellStart"/>
            <w:r w:rsidRPr="00212872">
              <w:rPr>
                <w:rFonts w:ascii="HelveticaNeueLT Std Lt" w:eastAsia="Times New Roman" w:hAnsi="HelveticaNeueLT Std Lt" w:cs="Arial"/>
                <w:sz w:val="20"/>
                <w:szCs w:val="20"/>
                <w:lang w:eastAsia="es-MX"/>
              </w:rPr>
              <w:t>RMF</w:t>
            </w:r>
            <w:proofErr w:type="spellEnd"/>
            <w:r w:rsidRPr="00212872">
              <w:rPr>
                <w:rFonts w:ascii="HelveticaNeueLT Std Lt" w:eastAsia="Times New Roman" w:hAnsi="HelveticaNeueLT Std Lt" w:cs="Arial"/>
                <w:sz w:val="20"/>
                <w:szCs w:val="20"/>
                <w:lang w:eastAsia="es-MX"/>
              </w:rPr>
              <w:t xml:space="preserve"> para 2022.</w:t>
            </w:r>
          </w:p>
          <w:p w14:paraId="4299FF80" w14:textId="2043CC33" w:rsidR="00FF5604" w:rsidRPr="00EB4A8D" w:rsidRDefault="00FF5604" w:rsidP="00212872">
            <w:pPr>
              <w:jc w:val="both"/>
              <w:rPr>
                <w:rFonts w:ascii="HelveticaNeueLT Std Lt" w:eastAsia="Times New Roman" w:hAnsi="HelveticaNeueLT Std Lt" w:cs="Arial"/>
                <w:sz w:val="20"/>
                <w:szCs w:val="20"/>
                <w:lang w:eastAsia="es-MX"/>
              </w:rPr>
            </w:pPr>
          </w:p>
        </w:tc>
      </w:tr>
      <w:tr w:rsidR="00622162" w:rsidRPr="000D4D13" w14:paraId="3CA1F52C" w14:textId="77777777" w:rsidTr="00FF5604">
        <w:trPr>
          <w:trHeight w:val="277"/>
        </w:trPr>
        <w:tc>
          <w:tcPr>
            <w:tcW w:w="617" w:type="dxa"/>
            <w:tcBorders>
              <w:top w:val="nil"/>
              <w:bottom w:val="single" w:sz="4" w:space="0" w:color="auto"/>
            </w:tcBorders>
          </w:tcPr>
          <w:p w14:paraId="4C8DD021" w14:textId="77777777" w:rsidR="00622162" w:rsidRPr="000D4D13" w:rsidRDefault="00622162" w:rsidP="00622162">
            <w:pPr>
              <w:spacing w:line="276" w:lineRule="auto"/>
              <w:jc w:val="center"/>
              <w:rPr>
                <w:rFonts w:ascii="HelveticaNeueLT Std" w:hAnsi="HelveticaNeueLT Std" w:cs="Arial"/>
                <w:b/>
                <w:bCs/>
                <w:sz w:val="20"/>
                <w:szCs w:val="20"/>
              </w:rPr>
            </w:pPr>
          </w:p>
          <w:p w14:paraId="0573EF1A" w14:textId="5F19296E" w:rsidR="00622162" w:rsidRPr="000D4D13" w:rsidRDefault="00FF5604" w:rsidP="0062216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27</w:t>
            </w:r>
          </w:p>
        </w:tc>
        <w:tc>
          <w:tcPr>
            <w:tcW w:w="2127" w:type="dxa"/>
            <w:tcBorders>
              <w:top w:val="nil"/>
              <w:bottom w:val="single" w:sz="4" w:space="0" w:color="auto"/>
            </w:tcBorders>
          </w:tcPr>
          <w:p w14:paraId="57EE053A" w14:textId="3F01FC9F" w:rsidR="00622162" w:rsidRPr="00B80921" w:rsidRDefault="00622162" w:rsidP="0062216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bookmarkStart w:id="0" w:name="_GoBack"/>
            <w:bookmarkEnd w:id="0"/>
            <w:r>
              <w:rPr>
                <w:rFonts w:ascii="HelveticaNeueLT Std" w:eastAsia="MS Mincho" w:hAnsi="HelveticaNeueLT Std"/>
                <w:bCs/>
                <w:sz w:val="20"/>
                <w:szCs w:val="20"/>
                <w:lang w:eastAsia="en-US"/>
              </w:rPr>
              <w:t>2</w:t>
            </w:r>
            <w:r w:rsidR="00FF5604">
              <w:rPr>
                <w:rFonts w:ascii="HelveticaNeueLT Std" w:eastAsia="MS Mincho" w:hAnsi="HelveticaNeueLT Std"/>
                <w:bCs/>
                <w:sz w:val="20"/>
                <w:szCs w:val="20"/>
                <w:lang w:eastAsia="en-US"/>
              </w:rPr>
              <w:t>9</w:t>
            </w:r>
            <w:r>
              <w:rPr>
                <w:rFonts w:ascii="HelveticaNeueLT Std" w:eastAsia="MS Mincho" w:hAnsi="HelveticaNeueLT Std"/>
                <w:bCs/>
                <w:sz w:val="20"/>
                <w:szCs w:val="20"/>
                <w:lang w:eastAsia="en-US"/>
              </w:rPr>
              <w:t>-julio</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2</w:t>
            </w:r>
          </w:p>
          <w:p w14:paraId="614B7037" w14:textId="77777777" w:rsidR="00622162" w:rsidRPr="00B80921" w:rsidRDefault="00622162" w:rsidP="0062216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61CC845" w14:textId="77777777" w:rsidR="00622162" w:rsidRPr="00B80921" w:rsidRDefault="00622162" w:rsidP="0062216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4BA8749D" w14:textId="393BD430" w:rsidR="00622162" w:rsidRPr="00B80921" w:rsidRDefault="00622162" w:rsidP="0062216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tc>
        <w:tc>
          <w:tcPr>
            <w:tcW w:w="2693" w:type="dxa"/>
            <w:tcBorders>
              <w:top w:val="nil"/>
              <w:bottom w:val="single" w:sz="4" w:space="0" w:color="auto"/>
            </w:tcBorders>
          </w:tcPr>
          <w:p w14:paraId="2EB913EB" w14:textId="77777777" w:rsidR="00622162" w:rsidRPr="00B80921" w:rsidRDefault="00622162" w:rsidP="0062216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0D3DFB5C" w14:textId="77777777" w:rsidR="00622162" w:rsidRPr="00B80921" w:rsidRDefault="00622162" w:rsidP="0062216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88E7F68" w14:textId="1DE0BBDC" w:rsidR="00622162" w:rsidRPr="00B80921" w:rsidRDefault="00622162" w:rsidP="00622162">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622162" w14:paraId="1A275AEC" w14:textId="77777777" w:rsidTr="00CD5452">
              <w:trPr>
                <w:trHeight w:val="1075"/>
                <w:tblCellSpacing w:w="0" w:type="dxa"/>
              </w:trPr>
              <w:tc>
                <w:tcPr>
                  <w:tcW w:w="8832"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FF5604" w14:paraId="2578438E" w14:textId="77777777" w:rsidTr="00FF5604">
                    <w:trPr>
                      <w:tblCellSpacing w:w="0" w:type="dxa"/>
                    </w:trPr>
                    <w:tc>
                      <w:tcPr>
                        <w:tcW w:w="8832" w:type="dxa"/>
                        <w:shd w:val="clear" w:color="auto" w:fill="FFFFFF"/>
                        <w:vAlign w:val="center"/>
                        <w:hideMark/>
                      </w:tcPr>
                      <w:p w14:paraId="7F9475D2" w14:textId="77777777" w:rsidR="00FF5604" w:rsidRDefault="00FF5604" w:rsidP="00FF5604">
                        <w:pPr>
                          <w:jc w:val="both"/>
                          <w:rPr>
                            <w:rFonts w:ascii="Arial" w:hAnsi="Arial" w:cs="Arial"/>
                            <w:color w:val="2F2F2F"/>
                            <w:sz w:val="22"/>
                            <w:szCs w:val="22"/>
                            <w:lang w:eastAsia="es-MX"/>
                          </w:rPr>
                        </w:pPr>
                        <w:hyperlink r:id="rId10" w:history="1">
                          <w:r w:rsidRPr="00FF5604">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junio de 2022 y por el ajuste de participaciones del primer cuatrimestre de 2022.</w:t>
                          </w:r>
                        </w:hyperlink>
                      </w:p>
                    </w:tc>
                    <w:tc>
                      <w:tcPr>
                        <w:tcW w:w="6" w:type="dxa"/>
                        <w:shd w:val="clear" w:color="auto" w:fill="FFFFFF"/>
                        <w:vAlign w:val="center"/>
                        <w:hideMark/>
                      </w:tcPr>
                      <w:p w14:paraId="7D78FC69" w14:textId="77777777" w:rsidR="00FF5604" w:rsidRDefault="00FF5604" w:rsidP="00FF5604">
                        <w:pPr>
                          <w:rPr>
                            <w:rFonts w:ascii="Arial" w:hAnsi="Arial" w:cs="Arial"/>
                            <w:color w:val="2F2F2F"/>
                            <w:sz w:val="22"/>
                            <w:szCs w:val="22"/>
                          </w:rPr>
                        </w:pPr>
                      </w:p>
                    </w:tc>
                  </w:tr>
                  <w:tr w:rsidR="00FF5604" w14:paraId="72998A40" w14:textId="77777777" w:rsidTr="00FF5604">
                    <w:trPr>
                      <w:trHeight w:val="180"/>
                      <w:tblCellSpacing w:w="0" w:type="dxa"/>
                    </w:trPr>
                    <w:tc>
                      <w:tcPr>
                        <w:tcW w:w="8832" w:type="dxa"/>
                        <w:shd w:val="clear" w:color="auto" w:fill="FFFFFF"/>
                        <w:hideMark/>
                      </w:tcPr>
                      <w:p w14:paraId="11C4585C" w14:textId="1D829643" w:rsidR="00FF5604" w:rsidRDefault="00FF5604" w:rsidP="00FF5604">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682C1E54" wp14:editId="2FCB18C9">
                              <wp:extent cx="95250" cy="114300"/>
                              <wp:effectExtent l="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347E769F" w14:textId="77777777" w:rsidR="00FF5604" w:rsidRDefault="00FF5604" w:rsidP="00FF5604">
                        <w:pPr>
                          <w:rPr>
                            <w:sz w:val="20"/>
                            <w:szCs w:val="20"/>
                          </w:rPr>
                        </w:pPr>
                      </w:p>
                    </w:tc>
                  </w:tr>
                </w:tbl>
                <w:p w14:paraId="68B1E5C2" w14:textId="77777777" w:rsidR="00622162" w:rsidRDefault="00622162" w:rsidP="00622162">
                  <w:pPr>
                    <w:jc w:val="both"/>
                    <w:rPr>
                      <w:rFonts w:ascii="Arial" w:hAnsi="Arial" w:cs="Arial"/>
                      <w:color w:val="2F2F2F"/>
                      <w:sz w:val="22"/>
                      <w:szCs w:val="22"/>
                      <w:lang w:eastAsia="es-MX"/>
                    </w:rPr>
                  </w:pPr>
                </w:p>
              </w:tc>
              <w:tc>
                <w:tcPr>
                  <w:tcW w:w="6" w:type="dxa"/>
                  <w:shd w:val="clear" w:color="auto" w:fill="FFFFFF"/>
                  <w:vAlign w:val="center"/>
                  <w:hideMark/>
                </w:tcPr>
                <w:p w14:paraId="0BC831B3" w14:textId="77777777" w:rsidR="00622162" w:rsidRDefault="00622162" w:rsidP="00622162">
                  <w:pPr>
                    <w:rPr>
                      <w:rFonts w:ascii="Arial" w:hAnsi="Arial" w:cs="Arial"/>
                      <w:color w:val="2F2F2F"/>
                      <w:sz w:val="22"/>
                      <w:szCs w:val="22"/>
                    </w:rPr>
                  </w:pPr>
                </w:p>
              </w:tc>
            </w:tr>
            <w:tr w:rsidR="00622162" w14:paraId="3804A932" w14:textId="77777777" w:rsidTr="00CD5452">
              <w:trPr>
                <w:trHeight w:val="180"/>
                <w:tblCellSpacing w:w="0" w:type="dxa"/>
              </w:trPr>
              <w:tc>
                <w:tcPr>
                  <w:tcW w:w="8832" w:type="dxa"/>
                  <w:shd w:val="clear" w:color="auto" w:fill="FFFFFF"/>
                  <w:hideMark/>
                </w:tcPr>
                <w:p w14:paraId="72D7E0BB" w14:textId="77777777" w:rsidR="00622162" w:rsidRDefault="00622162" w:rsidP="00622162">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2200FE9E" wp14:editId="1B34A59A">
                        <wp:extent cx="95250" cy="111125"/>
                        <wp:effectExtent l="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p>
              </w:tc>
              <w:tc>
                <w:tcPr>
                  <w:tcW w:w="6" w:type="dxa"/>
                  <w:shd w:val="clear" w:color="auto" w:fill="FFFFFF"/>
                  <w:vAlign w:val="center"/>
                  <w:hideMark/>
                </w:tcPr>
                <w:p w14:paraId="5ED54D55" w14:textId="77777777" w:rsidR="00622162" w:rsidRDefault="00622162" w:rsidP="00622162">
                  <w:pPr>
                    <w:rPr>
                      <w:sz w:val="20"/>
                      <w:szCs w:val="20"/>
                    </w:rPr>
                  </w:pPr>
                </w:p>
              </w:tc>
            </w:tr>
          </w:tbl>
          <w:p w14:paraId="2DBA807D" w14:textId="77777777" w:rsidR="00622162" w:rsidRPr="00245634" w:rsidRDefault="00622162" w:rsidP="00622162">
            <w:pPr>
              <w:jc w:val="both"/>
              <w:rPr>
                <w:rFonts w:ascii="HelveticaNeueLT Std" w:hAnsi="HelveticaNeueLT Std" w:cs="Arial"/>
                <w:b/>
                <w:bCs/>
                <w:sz w:val="20"/>
                <w:szCs w:val="20"/>
              </w:rPr>
            </w:pPr>
          </w:p>
        </w:tc>
        <w:tc>
          <w:tcPr>
            <w:tcW w:w="5812" w:type="dxa"/>
            <w:tcBorders>
              <w:top w:val="nil"/>
              <w:bottom w:val="single" w:sz="4" w:space="0" w:color="auto"/>
            </w:tcBorders>
          </w:tcPr>
          <w:p w14:paraId="78EBB295" w14:textId="59F6BEF7" w:rsidR="00622162" w:rsidRDefault="00622162" w:rsidP="00622162">
            <w:pPr>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 xml:space="preserve">A través del presente acuerdo se da a conocer: </w:t>
            </w:r>
          </w:p>
          <w:p w14:paraId="6A09025D" w14:textId="23FAE2E2" w:rsidR="00FF5604" w:rsidRDefault="00FF5604" w:rsidP="00622162">
            <w:pPr>
              <w:rPr>
                <w:rFonts w:ascii="HelveticaNeueLT Std Lt" w:eastAsia="Times New Roman" w:hAnsi="HelveticaNeueLT Std Lt" w:cs="Arial"/>
                <w:sz w:val="20"/>
                <w:szCs w:val="20"/>
                <w:lang w:eastAsia="es-MX"/>
              </w:rPr>
            </w:pPr>
          </w:p>
          <w:p w14:paraId="6ADEC61A" w14:textId="3780807D" w:rsidR="00FF5604" w:rsidRDefault="00FF5604" w:rsidP="00FF5604">
            <w:pPr>
              <w:pStyle w:val="Prrafodelista"/>
              <w:numPr>
                <w:ilvl w:val="0"/>
                <w:numId w:val="20"/>
              </w:numPr>
              <w:jc w:val="both"/>
              <w:rPr>
                <w:rFonts w:ascii="HelveticaNeueLT Std Lt" w:eastAsia="Times New Roman" w:hAnsi="HelveticaNeueLT Std Lt" w:cs="Arial"/>
                <w:sz w:val="20"/>
                <w:szCs w:val="20"/>
                <w:lang w:eastAsia="es-MX"/>
              </w:rPr>
            </w:pPr>
            <w:r w:rsidRPr="00FF5604">
              <w:rPr>
                <w:rFonts w:ascii="HelveticaNeueLT Std Lt" w:eastAsia="Times New Roman" w:hAnsi="HelveticaNeueLT Std Lt" w:cs="Arial"/>
                <w:sz w:val="20"/>
                <w:szCs w:val="20"/>
                <w:lang w:eastAsia="es-MX"/>
              </w:rPr>
              <w:t>L</w:t>
            </w:r>
            <w:r w:rsidRPr="00FF5604">
              <w:rPr>
                <w:rFonts w:ascii="HelveticaNeueLT Std Lt" w:eastAsia="Times New Roman" w:hAnsi="HelveticaNeueLT Std Lt" w:cs="Arial"/>
                <w:sz w:val="20"/>
                <w:szCs w:val="20"/>
                <w:lang w:eastAsia="es-MX"/>
              </w:rPr>
              <w:t>a recaudación federal participable de mayo de 2022, las participaciones en ingresos federales por el mes de junio de 2022, así como el procedimiento seguido en la determinación e integración de las mismas, por entidades federativas y, en su caso, por municipios. Las cifras correspondientes al mes de junio de 2022 no incluyen deducciones derivadas de compromisos financieros contraídos por las entidades federativas.</w:t>
            </w:r>
          </w:p>
          <w:p w14:paraId="34B5BEA4" w14:textId="77777777" w:rsidR="00FF5604" w:rsidRDefault="00FF5604" w:rsidP="00FF5604">
            <w:pPr>
              <w:pStyle w:val="Prrafodelista"/>
              <w:jc w:val="both"/>
              <w:rPr>
                <w:rFonts w:ascii="HelveticaNeueLT Std Lt" w:eastAsia="Times New Roman" w:hAnsi="HelveticaNeueLT Std Lt" w:cs="Arial"/>
                <w:sz w:val="20"/>
                <w:szCs w:val="20"/>
                <w:lang w:eastAsia="es-MX"/>
              </w:rPr>
            </w:pPr>
          </w:p>
          <w:p w14:paraId="57CDFAE0" w14:textId="05E2CC31" w:rsidR="00FF5604" w:rsidRDefault="00FF5604" w:rsidP="00FF5604">
            <w:pPr>
              <w:pStyle w:val="Prrafodelista"/>
              <w:numPr>
                <w:ilvl w:val="0"/>
                <w:numId w:val="20"/>
              </w:numPr>
              <w:jc w:val="both"/>
              <w:rPr>
                <w:rFonts w:ascii="HelveticaNeueLT Std Lt" w:eastAsia="Times New Roman" w:hAnsi="HelveticaNeueLT Std Lt" w:cs="Arial"/>
                <w:sz w:val="20"/>
                <w:szCs w:val="20"/>
                <w:lang w:eastAsia="es-MX"/>
              </w:rPr>
            </w:pPr>
            <w:r>
              <w:rPr>
                <w:rFonts w:ascii="HelveticaNeueLT Std Lt" w:eastAsia="Times New Roman" w:hAnsi="HelveticaNeueLT Std Lt" w:cs="Arial"/>
                <w:sz w:val="20"/>
                <w:szCs w:val="20"/>
                <w:lang w:eastAsia="es-MX"/>
              </w:rPr>
              <w:t>L</w:t>
            </w:r>
            <w:r w:rsidRPr="00FF5604">
              <w:rPr>
                <w:rFonts w:ascii="HelveticaNeueLT Std Lt" w:eastAsia="Times New Roman" w:hAnsi="HelveticaNeueLT Std Lt" w:cs="Arial"/>
                <w:sz w:val="20"/>
                <w:szCs w:val="20"/>
                <w:lang w:eastAsia="es-MX"/>
              </w:rPr>
              <w:t>a recaudación federal participable, el cálculo de las participaciones en ingresos federales y la determinación de las diferencias por el primer ajuste cuatrimestral de 2022 por entidades federativas y, en su caso, por municipios.</w:t>
            </w:r>
          </w:p>
          <w:p w14:paraId="1E84A1D4" w14:textId="77777777" w:rsidR="00FF5604" w:rsidRPr="00FF5604" w:rsidRDefault="00FF5604" w:rsidP="00FF5604">
            <w:pPr>
              <w:pStyle w:val="Prrafodelista"/>
              <w:rPr>
                <w:rFonts w:ascii="HelveticaNeueLT Std Lt" w:eastAsia="Times New Roman" w:hAnsi="HelveticaNeueLT Std Lt" w:cs="Arial"/>
                <w:sz w:val="20"/>
                <w:szCs w:val="20"/>
                <w:lang w:eastAsia="es-MX"/>
              </w:rPr>
            </w:pPr>
          </w:p>
          <w:p w14:paraId="68C020AE" w14:textId="2C0B9B19" w:rsidR="00FF5604" w:rsidRPr="00FF5604" w:rsidRDefault="00FF5604" w:rsidP="00FF5604">
            <w:pPr>
              <w:pStyle w:val="Prrafodelista"/>
              <w:numPr>
                <w:ilvl w:val="0"/>
                <w:numId w:val="20"/>
              </w:numPr>
              <w:jc w:val="both"/>
              <w:rPr>
                <w:rFonts w:ascii="HelveticaNeueLT Std Lt" w:eastAsia="Times New Roman" w:hAnsi="HelveticaNeueLT Std Lt" w:cs="Arial"/>
                <w:sz w:val="20"/>
                <w:szCs w:val="20"/>
                <w:lang w:eastAsia="es-MX"/>
              </w:rPr>
            </w:pPr>
            <w:r w:rsidRPr="00FF5604">
              <w:rPr>
                <w:rFonts w:ascii="HelveticaNeueLT Std Lt" w:eastAsia="Times New Roman" w:hAnsi="HelveticaNeueLT Std Lt" w:cs="Arial"/>
                <w:sz w:val="20"/>
                <w:szCs w:val="20"/>
                <w:lang w:eastAsia="es-MX"/>
              </w:rPr>
              <w:t xml:space="preserve">Las participaciones de los fondos y otros conceptos participables, señalados en los numerales primero y segundo de este Acuerdo, así como los montos que finalmente reciba cada entidad federativa, pueden verse modificados por la variación de los ingresos efectivamente captados, por el cambio de los coeficientes y, en su caso, por las diferencias derivadas de los ajustes a los pagos </w:t>
            </w:r>
            <w:r w:rsidRPr="00FF5604">
              <w:rPr>
                <w:rFonts w:ascii="HelveticaNeueLT Std Lt" w:eastAsia="Times New Roman" w:hAnsi="HelveticaNeueLT Std Lt" w:cs="Arial"/>
                <w:sz w:val="20"/>
                <w:szCs w:val="20"/>
                <w:lang w:eastAsia="es-MX"/>
              </w:rPr>
              <w:lastRenderedPageBreak/>
              <w:t>provisionales y del ajuste definitivo correspondientes al ejercicio fiscal de 2022.</w:t>
            </w:r>
          </w:p>
          <w:p w14:paraId="0C7A75D8" w14:textId="556456F1" w:rsidR="00FF5604" w:rsidRPr="00FF5604" w:rsidRDefault="00FF5604" w:rsidP="00622162">
            <w:pPr>
              <w:rPr>
                <w:rFonts w:ascii="HelveticaNeueLT Std Lt" w:eastAsia="Times New Roman" w:hAnsi="HelveticaNeueLT Std Lt" w:cs="Arial"/>
                <w:sz w:val="20"/>
                <w:szCs w:val="20"/>
                <w:lang w:eastAsia="es-MX"/>
              </w:rPr>
            </w:pPr>
          </w:p>
          <w:p w14:paraId="05684C19" w14:textId="77777777" w:rsidR="00FF5604" w:rsidRDefault="00FF5604" w:rsidP="00622162">
            <w:pPr>
              <w:rPr>
                <w:rFonts w:ascii="HelveticaNeueLT Std Lt" w:eastAsia="Times New Roman" w:hAnsi="HelveticaNeueLT Std Lt" w:cs="Arial"/>
                <w:sz w:val="20"/>
                <w:szCs w:val="20"/>
                <w:lang w:eastAsia="es-MX"/>
              </w:rPr>
            </w:pPr>
          </w:p>
          <w:p w14:paraId="2C72A545" w14:textId="77777777" w:rsidR="00622162" w:rsidRDefault="00622162" w:rsidP="00622162">
            <w:pPr>
              <w:rPr>
                <w:rFonts w:ascii="HelveticaNeueLT Std Lt" w:eastAsia="Times New Roman" w:hAnsi="HelveticaNeueLT Std Lt" w:cs="Arial"/>
                <w:sz w:val="20"/>
                <w:szCs w:val="20"/>
                <w:lang w:eastAsia="es-MX"/>
              </w:rPr>
            </w:pPr>
          </w:p>
          <w:p w14:paraId="66E00EBA" w14:textId="74383C6A" w:rsidR="00622162" w:rsidRPr="00212872" w:rsidRDefault="00622162" w:rsidP="00622162">
            <w:pPr>
              <w:rPr>
                <w:rFonts w:ascii="HelveticaNeueLT Std Lt" w:eastAsia="Times New Roman" w:hAnsi="HelveticaNeueLT Std Lt" w:cs="Arial"/>
                <w:sz w:val="20"/>
                <w:szCs w:val="20"/>
                <w:lang w:eastAsia="es-MX"/>
              </w:rPr>
            </w:pPr>
          </w:p>
        </w:tc>
      </w:tr>
    </w:tbl>
    <w:tbl>
      <w:tblPr>
        <w:tblpPr w:leftFromText="141" w:rightFromText="141" w:vertAnchor="text" w:horzAnchor="page" w:tblpX="5851" w:tblpY="1691"/>
        <w:tblOverlap w:val="never"/>
        <w:tblW w:w="2817" w:type="dxa"/>
        <w:tblCellSpacing w:w="0" w:type="dxa"/>
        <w:shd w:val="clear" w:color="auto" w:fill="FFFFFF"/>
        <w:tblLayout w:type="fixed"/>
        <w:tblCellMar>
          <w:left w:w="0" w:type="dxa"/>
          <w:right w:w="0" w:type="dxa"/>
        </w:tblCellMar>
        <w:tblLook w:val="04A0" w:firstRow="1" w:lastRow="0" w:firstColumn="1" w:lastColumn="0" w:noHBand="0" w:noVBand="1"/>
      </w:tblPr>
      <w:tblGrid>
        <w:gridCol w:w="2797"/>
        <w:gridCol w:w="20"/>
      </w:tblGrid>
      <w:tr w:rsidR="00FF5604" w14:paraId="6D73EABD" w14:textId="77777777" w:rsidTr="00FF5604">
        <w:trPr>
          <w:tblCellSpacing w:w="0" w:type="dxa"/>
        </w:trPr>
        <w:tc>
          <w:tcPr>
            <w:tcW w:w="2797" w:type="dxa"/>
            <w:shd w:val="clear" w:color="auto" w:fill="FFFFFF"/>
            <w:vAlign w:val="center"/>
          </w:tcPr>
          <w:p w14:paraId="34CBD7D3" w14:textId="77777777" w:rsidR="00FF5604" w:rsidRDefault="00FF5604" w:rsidP="00FF5604">
            <w:pPr>
              <w:jc w:val="both"/>
              <w:rPr>
                <w:rFonts w:ascii="Arial" w:hAnsi="Arial" w:cs="Arial"/>
                <w:color w:val="2F2F2F"/>
                <w:sz w:val="22"/>
                <w:szCs w:val="22"/>
                <w:lang w:eastAsia="es-MX"/>
              </w:rPr>
            </w:pPr>
          </w:p>
        </w:tc>
        <w:tc>
          <w:tcPr>
            <w:tcW w:w="20" w:type="dxa"/>
            <w:shd w:val="clear" w:color="auto" w:fill="FFFFFF"/>
            <w:vAlign w:val="center"/>
          </w:tcPr>
          <w:p w14:paraId="0B238A0E" w14:textId="77777777" w:rsidR="00FF5604" w:rsidRDefault="00FF5604" w:rsidP="00FF5604">
            <w:pPr>
              <w:rPr>
                <w:rFonts w:ascii="Arial" w:hAnsi="Arial" w:cs="Arial"/>
                <w:color w:val="2F2F2F"/>
                <w:sz w:val="22"/>
                <w:szCs w:val="22"/>
              </w:rPr>
            </w:pPr>
          </w:p>
        </w:tc>
      </w:tr>
      <w:tr w:rsidR="00FF5604" w14:paraId="445049F1" w14:textId="77777777" w:rsidTr="00FF5604">
        <w:trPr>
          <w:trHeight w:val="180"/>
          <w:tblCellSpacing w:w="0" w:type="dxa"/>
        </w:trPr>
        <w:tc>
          <w:tcPr>
            <w:tcW w:w="2797" w:type="dxa"/>
            <w:shd w:val="clear" w:color="auto" w:fill="FFFFFF"/>
          </w:tcPr>
          <w:p w14:paraId="13014295" w14:textId="76ED962B" w:rsidR="00FF5604" w:rsidRDefault="00FF5604" w:rsidP="00FF5604">
            <w:pPr>
              <w:rPr>
                <w:rFonts w:ascii="Arial" w:hAnsi="Arial" w:cs="Arial"/>
                <w:color w:val="2F2F2F"/>
                <w:sz w:val="22"/>
                <w:szCs w:val="22"/>
              </w:rPr>
            </w:pPr>
          </w:p>
        </w:tc>
        <w:tc>
          <w:tcPr>
            <w:tcW w:w="20" w:type="dxa"/>
            <w:shd w:val="clear" w:color="auto" w:fill="FFFFFF"/>
            <w:vAlign w:val="center"/>
          </w:tcPr>
          <w:p w14:paraId="32641397" w14:textId="77777777" w:rsidR="00FF5604" w:rsidRDefault="00FF5604" w:rsidP="00FF5604">
            <w:pPr>
              <w:rPr>
                <w:sz w:val="20"/>
                <w:szCs w:val="20"/>
              </w:rPr>
            </w:pPr>
          </w:p>
        </w:tc>
      </w:tr>
    </w:tbl>
    <w:p w14:paraId="2C3195A2" w14:textId="20DAADD6" w:rsidR="00F850EE" w:rsidRPr="000D4D13" w:rsidRDefault="00F850EE" w:rsidP="009A45CF">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1"/>
      <w:footerReference w:type="default" r:id="rId12"/>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BA020" w14:textId="77777777" w:rsidR="00E12CF4" w:rsidRDefault="00E12CF4" w:rsidP="00FA6D75">
      <w:r>
        <w:separator/>
      </w:r>
    </w:p>
  </w:endnote>
  <w:endnote w:type="continuationSeparator" w:id="0">
    <w:p w14:paraId="14A18BE1" w14:textId="77777777" w:rsidR="00E12CF4" w:rsidRDefault="00E12CF4"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295ABCF4"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FF5604">
              <w:rPr>
                <w:rFonts w:ascii="Arial" w:hAnsi="Arial" w:cs="Arial"/>
                <w:b/>
                <w:bCs/>
                <w:noProof/>
                <w:sz w:val="20"/>
                <w:szCs w:val="20"/>
              </w:rPr>
              <w:t>3</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FF5604">
              <w:rPr>
                <w:rFonts w:ascii="Arial" w:hAnsi="Arial" w:cs="Arial"/>
                <w:b/>
                <w:bCs/>
                <w:noProof/>
                <w:sz w:val="20"/>
                <w:szCs w:val="20"/>
              </w:rPr>
              <w:t>3</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DDFF2" w14:textId="77777777" w:rsidR="00E12CF4" w:rsidRDefault="00E12CF4" w:rsidP="00FA6D75">
      <w:r>
        <w:separator/>
      </w:r>
    </w:p>
  </w:footnote>
  <w:footnote w:type="continuationSeparator" w:id="0">
    <w:p w14:paraId="140823CB" w14:textId="77777777" w:rsidR="00E12CF4" w:rsidRDefault="00E12CF4"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6"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19"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8"/>
  </w:num>
  <w:num w:numId="4">
    <w:abstractNumId w:val="14"/>
  </w:num>
  <w:num w:numId="5">
    <w:abstractNumId w:val="15"/>
  </w:num>
  <w:num w:numId="6">
    <w:abstractNumId w:val="18"/>
  </w:num>
  <w:num w:numId="7">
    <w:abstractNumId w:val="10"/>
  </w:num>
  <w:num w:numId="8">
    <w:abstractNumId w:val="7"/>
  </w:num>
  <w:num w:numId="9">
    <w:abstractNumId w:val="17"/>
  </w:num>
  <w:num w:numId="10">
    <w:abstractNumId w:val="13"/>
  </w:num>
  <w:num w:numId="11">
    <w:abstractNumId w:val="12"/>
  </w:num>
  <w:num w:numId="12">
    <w:abstractNumId w:val="2"/>
  </w:num>
  <w:num w:numId="13">
    <w:abstractNumId w:val="4"/>
  </w:num>
  <w:num w:numId="14">
    <w:abstractNumId w:val="6"/>
  </w:num>
  <w:num w:numId="15">
    <w:abstractNumId w:val="9"/>
  </w:num>
  <w:num w:numId="16">
    <w:abstractNumId w:val="3"/>
  </w:num>
  <w:num w:numId="17">
    <w:abstractNumId w:val="1"/>
  </w:num>
  <w:num w:numId="18">
    <w:abstractNumId w:val="0"/>
  </w:num>
  <w:num w:numId="19">
    <w:abstractNumId w:val="5"/>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322B"/>
    <w:rsid w:val="001D328E"/>
    <w:rsid w:val="001D4A8B"/>
    <w:rsid w:val="001D5627"/>
    <w:rsid w:val="001D5735"/>
    <w:rsid w:val="001D5B57"/>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F5A"/>
    <w:rsid w:val="002421D1"/>
    <w:rsid w:val="00242DA9"/>
    <w:rsid w:val="00242F76"/>
    <w:rsid w:val="002441B0"/>
    <w:rsid w:val="00244970"/>
    <w:rsid w:val="00245351"/>
    <w:rsid w:val="0024547D"/>
    <w:rsid w:val="00245559"/>
    <w:rsid w:val="00245634"/>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23C6"/>
    <w:rsid w:val="00302D09"/>
    <w:rsid w:val="0030311F"/>
    <w:rsid w:val="00305C56"/>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9F1"/>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25CD"/>
    <w:rsid w:val="00422ABA"/>
    <w:rsid w:val="00423499"/>
    <w:rsid w:val="004238AD"/>
    <w:rsid w:val="00424205"/>
    <w:rsid w:val="00424EDD"/>
    <w:rsid w:val="00426134"/>
    <w:rsid w:val="00426164"/>
    <w:rsid w:val="00426B32"/>
    <w:rsid w:val="00426E19"/>
    <w:rsid w:val="00427C41"/>
    <w:rsid w:val="004302D6"/>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2749"/>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7F5"/>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391"/>
    <w:rsid w:val="006145A7"/>
    <w:rsid w:val="00615FA2"/>
    <w:rsid w:val="0061655A"/>
    <w:rsid w:val="00616692"/>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30A60"/>
    <w:rsid w:val="00D317B7"/>
    <w:rsid w:val="00D33AED"/>
    <w:rsid w:val="00D33F86"/>
    <w:rsid w:val="00D341D4"/>
    <w:rsid w:val="00D35A1B"/>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866"/>
    <w:rsid w:val="00E2626C"/>
    <w:rsid w:val="00E2701C"/>
    <w:rsid w:val="00E27A20"/>
    <w:rsid w:val="00E27F63"/>
    <w:rsid w:val="00E30522"/>
    <w:rsid w:val="00E3128F"/>
    <w:rsid w:val="00E31682"/>
    <w:rsid w:val="00E31FDE"/>
    <w:rsid w:val="00E328EB"/>
    <w:rsid w:val="00E342D1"/>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6B14"/>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7A2"/>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A4"/>
    <w:rsid w:val="00FA30D2"/>
    <w:rsid w:val="00FA35A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6EE"/>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4313"/>
    <w:rsid w:val="00FF5604"/>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58267&amp;fecha=15/07/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of.gob.mx/nota_detalle.php?codigo=5659730&amp;fecha=29/07/202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F8B0-DB64-4E10-8111-60DADAA5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3</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72</cp:revision>
  <cp:lastPrinted>2021-01-29T22:36:00Z</cp:lastPrinted>
  <dcterms:created xsi:type="dcterms:W3CDTF">2019-01-03T20:20:00Z</dcterms:created>
  <dcterms:modified xsi:type="dcterms:W3CDTF">2022-08-01T16:58:00Z</dcterms:modified>
</cp:coreProperties>
</file>